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keepNext w:val="true"/>
        <w:keepLines w:val="true"/>
        <w:spacing w:before="360" w:after="12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32"/>
          <w:shd w:fill="auto" w:val="clear"/>
        </w:rPr>
        <w:t xml:space="preserve">Technology Policies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Data Security Policy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 Measures to protect sensitive client information and firm data from unauthorized access, breaches, and cyber threats.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Acceptable Use Policy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 Guidelines on the appropriate use of the firm's technology resources, including internet usage, email, and company devices.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Bring Your Own Device (BYOD) Policy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 Rules and security measures for employees who use their personal devices for work-related tasks.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Email and Communication Policy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 Standards for the use of email and other communication tools to ensure confidentiality and professionalism.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Password Management Policy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 Requirements for creating, managing, and updating passwords to ensure strong security practices.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Remote Work Policy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 Guidelines for securely accessing the firm's network and resources while working remotely.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Data Backup and Recovery Policy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 Procedures for regularly backing up data and recovering it in case of loss or disaster.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Software Management Policy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 Rules for installing, updating, and using software applications to ensure compliance and security.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Incident Response Policy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 Steps to be taken in the event of a security breach or other IT incident, including notification procedures and mitigation strategies.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Technology Training Policy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 Requirements for ongoing training and education on the latest technology and security practices for all employees.</w:t>
      </w: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Technology Policy End of Life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 2026-09-10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